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D3" w:rsidRDefault="00FD44D3" w:rsidP="00595125">
      <w:pPr>
        <w:pStyle w:val="Heading1"/>
      </w:pPr>
      <w:bookmarkStart w:id="0" w:name="_Toc490300421"/>
      <w:r>
        <w:t>Financial Need Scoring Rubric</w:t>
      </w:r>
      <w:r w:rsidR="00445652">
        <w:t xml:space="preserve"> (2018/19)</w:t>
      </w:r>
    </w:p>
    <w:p w:rsidR="003B1126" w:rsidRDefault="003B1126" w:rsidP="00FD44D3">
      <w:r>
        <w:t xml:space="preserve">Note: 2016 Census data reports a 10% MHI decrease from </w:t>
      </w:r>
      <w:bookmarkStart w:id="1" w:name="_GoBack"/>
      <w:bookmarkEnd w:id="1"/>
      <w:r>
        <w:t>2010 accompanied by a 12% increase in inflation.</w:t>
      </w:r>
    </w:p>
    <w:p w:rsidR="00FD44D3" w:rsidRDefault="00D90623" w:rsidP="00FD44D3">
      <w:r>
        <w:t xml:space="preserve">Recommend consideration of the </w:t>
      </w:r>
      <w:r w:rsidR="00FD44D3">
        <w:t>monthly balance (income – expenditure) reported in the applicant’s financial worksheet</w:t>
      </w:r>
      <w:r>
        <w:t xml:space="preserve"> in addition to the information from the chart provided below.</w:t>
      </w:r>
    </w:p>
    <w:p w:rsidR="00FD44D3" w:rsidRDefault="00FD44D3" w:rsidP="00FD44D3">
      <w:pPr>
        <w:pStyle w:val="ListParagraph"/>
        <w:numPr>
          <w:ilvl w:val="0"/>
          <w:numId w:val="9"/>
        </w:numPr>
      </w:pPr>
      <w:r>
        <w:t xml:space="preserve">Determine the applicant’s </w:t>
      </w:r>
      <w:r w:rsidR="00074FF5">
        <w:t>household income</w:t>
      </w:r>
      <w:r w:rsidR="00D90623">
        <w:t xml:space="preserve"> (financial worksheet)</w:t>
      </w:r>
    </w:p>
    <w:p w:rsidR="00FD44D3" w:rsidRDefault="00FD44D3" w:rsidP="00FD44D3">
      <w:pPr>
        <w:pStyle w:val="ListParagraph"/>
        <w:numPr>
          <w:ilvl w:val="0"/>
          <w:numId w:val="9"/>
        </w:numPr>
      </w:pPr>
      <w:r>
        <w:t>If the income is too low and not listed,</w:t>
      </w:r>
      <w:r w:rsidR="00074FF5">
        <w:t xml:space="preserve"> it suggests a </w:t>
      </w:r>
      <w:r>
        <w:t>high financial need.</w:t>
      </w:r>
    </w:p>
    <w:p w:rsidR="00FD44D3" w:rsidRDefault="00FD44D3" w:rsidP="00FD44D3">
      <w:pPr>
        <w:pStyle w:val="ListParagraph"/>
        <w:numPr>
          <w:ilvl w:val="0"/>
          <w:numId w:val="9"/>
        </w:numPr>
      </w:pPr>
      <w:r>
        <w:t>If the primary source of income is Government Financial assistance, the student has a high financial need.</w:t>
      </w:r>
    </w:p>
    <w:p w:rsidR="00FD44D3" w:rsidRDefault="00FD44D3" w:rsidP="00FD44D3">
      <w:pPr>
        <w:pStyle w:val="ListParagraph"/>
        <w:numPr>
          <w:ilvl w:val="0"/>
          <w:numId w:val="9"/>
        </w:numPr>
      </w:pPr>
      <w:r>
        <w:t xml:space="preserve">If the income is too high and not listed, </w:t>
      </w:r>
      <w:r w:rsidR="00074FF5">
        <w:t>it suggests a low</w:t>
      </w:r>
      <w:r>
        <w:t xml:space="preserve"> financial need.</w:t>
      </w:r>
    </w:p>
    <w:p w:rsidR="00C74A7B" w:rsidRDefault="00553143" w:rsidP="00553143">
      <w:pPr>
        <w:pStyle w:val="Heading3"/>
        <w:spacing w:after="240"/>
      </w:pPr>
      <w:r>
        <w:t>Step One: Determine where the household income falls in comparison to the median household income for Bermuda</w:t>
      </w:r>
    </w:p>
    <w:p w:rsidR="00553143" w:rsidRDefault="00553143" w:rsidP="00553143">
      <w:pPr>
        <w:pStyle w:val="Caption"/>
        <w:keepNext/>
      </w:pPr>
      <w:r>
        <w:t xml:space="preserve">Table </w:t>
      </w:r>
      <w:fldSimple w:instr=" SEQ Table \* ARABIC ">
        <w:r w:rsidR="00F521CA">
          <w:rPr>
            <w:noProof/>
          </w:rPr>
          <w:t>1</w:t>
        </w:r>
      </w:fldSimple>
      <w:r>
        <w:t>. 201</w:t>
      </w:r>
      <w:r w:rsidR="0072529C">
        <w:t>6</w:t>
      </w:r>
      <w:r>
        <w:t xml:space="preserve"> Median </w:t>
      </w:r>
      <w:r w:rsidR="0072529C">
        <w:t xml:space="preserve">Annual </w:t>
      </w:r>
      <w:r>
        <w:t>Household</w:t>
      </w:r>
      <w:r w:rsidR="0072529C">
        <w:t xml:space="preserve"> Gross Income </w:t>
      </w:r>
      <w:r>
        <w:t>(MHI)</w:t>
      </w:r>
      <w:r w:rsidR="007F1FE7">
        <w:rPr>
          <w:rStyle w:val="FootnoteReference"/>
        </w:rPr>
        <w:footnoteReference w:id="1"/>
      </w:r>
    </w:p>
    <w:tbl>
      <w:tblPr>
        <w:tblStyle w:val="TableGrid"/>
        <w:tblW w:w="0" w:type="auto"/>
        <w:tblLook w:val="04A0" w:firstRow="1" w:lastRow="0" w:firstColumn="1" w:lastColumn="0" w:noHBand="0" w:noVBand="1"/>
      </w:tblPr>
      <w:tblGrid>
        <w:gridCol w:w="987"/>
        <w:gridCol w:w="1393"/>
        <w:gridCol w:w="1394"/>
        <w:gridCol w:w="1394"/>
        <w:gridCol w:w="1394"/>
        <w:gridCol w:w="1394"/>
        <w:gridCol w:w="1394"/>
      </w:tblGrid>
      <w:tr w:rsidR="00C35181" w:rsidTr="00C35181">
        <w:tc>
          <w:tcPr>
            <w:tcW w:w="987" w:type="dxa"/>
          </w:tcPr>
          <w:p w:rsidR="00C35181" w:rsidRDefault="00C35181" w:rsidP="0072529C">
            <w:r>
              <w:t>Family Size</w:t>
            </w:r>
          </w:p>
        </w:tc>
        <w:tc>
          <w:tcPr>
            <w:tcW w:w="1393" w:type="dxa"/>
          </w:tcPr>
          <w:p w:rsidR="00C35181" w:rsidRDefault="00C35181" w:rsidP="0072529C">
            <w:r>
              <w:t>Median Household Income (2016)</w:t>
            </w:r>
          </w:p>
        </w:tc>
        <w:tc>
          <w:tcPr>
            <w:tcW w:w="1394" w:type="dxa"/>
          </w:tcPr>
          <w:p w:rsidR="00C35181" w:rsidRDefault="00C35181" w:rsidP="00FD44D3">
            <w:r>
              <w:t>50% of the median household income</w:t>
            </w:r>
          </w:p>
        </w:tc>
        <w:tc>
          <w:tcPr>
            <w:tcW w:w="1394" w:type="dxa"/>
          </w:tcPr>
          <w:p w:rsidR="00C35181" w:rsidRDefault="00C35181" w:rsidP="00074FF5">
            <w:r>
              <w:t>55% of the median household income</w:t>
            </w:r>
          </w:p>
        </w:tc>
        <w:tc>
          <w:tcPr>
            <w:tcW w:w="1394" w:type="dxa"/>
          </w:tcPr>
          <w:p w:rsidR="00C35181" w:rsidRDefault="00C35181" w:rsidP="00FD44D3">
            <w:r>
              <w:t>60% of the median household income</w:t>
            </w:r>
          </w:p>
        </w:tc>
        <w:tc>
          <w:tcPr>
            <w:tcW w:w="1394" w:type="dxa"/>
          </w:tcPr>
          <w:p w:rsidR="00C35181" w:rsidRDefault="00C35181" w:rsidP="00074FF5">
            <w:r>
              <w:t>65% of the median household income</w:t>
            </w:r>
          </w:p>
        </w:tc>
        <w:tc>
          <w:tcPr>
            <w:tcW w:w="1394" w:type="dxa"/>
          </w:tcPr>
          <w:p w:rsidR="00C35181" w:rsidRDefault="00C35181" w:rsidP="00074FF5">
            <w:r>
              <w:t>70% of the median household income</w:t>
            </w:r>
          </w:p>
        </w:tc>
      </w:tr>
      <w:tr w:rsidR="00C35181" w:rsidTr="00C35181">
        <w:tc>
          <w:tcPr>
            <w:tcW w:w="987" w:type="dxa"/>
          </w:tcPr>
          <w:p w:rsidR="00C35181" w:rsidRPr="003B1126" w:rsidRDefault="00C35181" w:rsidP="00F521CA">
            <w:pPr>
              <w:jc w:val="center"/>
              <w:rPr>
                <w:b/>
              </w:rPr>
            </w:pPr>
            <w:r w:rsidRPr="003B1126">
              <w:rPr>
                <w:b/>
              </w:rPr>
              <w:t>1</w:t>
            </w:r>
          </w:p>
        </w:tc>
        <w:tc>
          <w:tcPr>
            <w:tcW w:w="1393" w:type="dxa"/>
          </w:tcPr>
          <w:p w:rsidR="00C35181" w:rsidRPr="003B1126" w:rsidRDefault="00C35181" w:rsidP="0072529C">
            <w:pPr>
              <w:rPr>
                <w:b/>
              </w:rPr>
            </w:pPr>
            <w:r w:rsidRPr="003B1126">
              <w:rPr>
                <w:b/>
              </w:rPr>
              <w:t>$93,713.00</w:t>
            </w:r>
          </w:p>
        </w:tc>
        <w:tc>
          <w:tcPr>
            <w:tcW w:w="1394" w:type="dxa"/>
          </w:tcPr>
          <w:p w:rsidR="00C35181" w:rsidRPr="003B1126" w:rsidRDefault="00C35181" w:rsidP="00FB491C">
            <w:pPr>
              <w:rPr>
                <w:b/>
              </w:rPr>
            </w:pPr>
            <w:r w:rsidRPr="003B1126">
              <w:rPr>
                <w:b/>
              </w:rPr>
              <w:t>$46,856.50</w:t>
            </w:r>
          </w:p>
        </w:tc>
        <w:tc>
          <w:tcPr>
            <w:tcW w:w="1394" w:type="dxa"/>
          </w:tcPr>
          <w:p w:rsidR="00C35181" w:rsidRPr="003B1126" w:rsidRDefault="00C35181" w:rsidP="00FB491C">
            <w:pPr>
              <w:rPr>
                <w:b/>
              </w:rPr>
            </w:pPr>
            <w:r w:rsidRPr="003B1126">
              <w:rPr>
                <w:b/>
              </w:rPr>
              <w:t>$51,542.15</w:t>
            </w:r>
          </w:p>
        </w:tc>
        <w:tc>
          <w:tcPr>
            <w:tcW w:w="1394" w:type="dxa"/>
          </w:tcPr>
          <w:p w:rsidR="00C35181" w:rsidRPr="003B1126" w:rsidRDefault="00C35181" w:rsidP="00FD44D3">
            <w:pPr>
              <w:rPr>
                <w:b/>
              </w:rPr>
            </w:pPr>
            <w:r w:rsidRPr="003B1126">
              <w:rPr>
                <w:b/>
              </w:rPr>
              <w:t>$56,277.80</w:t>
            </w:r>
          </w:p>
        </w:tc>
        <w:tc>
          <w:tcPr>
            <w:tcW w:w="1394" w:type="dxa"/>
          </w:tcPr>
          <w:p w:rsidR="00C35181" w:rsidRPr="003B1126" w:rsidRDefault="00C35181" w:rsidP="00FB491C">
            <w:pPr>
              <w:rPr>
                <w:b/>
              </w:rPr>
            </w:pPr>
            <w:r w:rsidRPr="003B1126">
              <w:rPr>
                <w:b/>
              </w:rPr>
              <w:t>$60,913.45</w:t>
            </w:r>
          </w:p>
        </w:tc>
        <w:tc>
          <w:tcPr>
            <w:tcW w:w="1394" w:type="dxa"/>
          </w:tcPr>
          <w:p w:rsidR="00C35181" w:rsidRPr="003B1126" w:rsidRDefault="00C35181" w:rsidP="00FB491C">
            <w:pPr>
              <w:rPr>
                <w:b/>
              </w:rPr>
            </w:pPr>
            <w:r w:rsidRPr="003B1126">
              <w:rPr>
                <w:b/>
              </w:rPr>
              <w:t>$65,599.10</w:t>
            </w:r>
          </w:p>
        </w:tc>
      </w:tr>
      <w:tr w:rsidR="00C35181" w:rsidTr="00F521CA">
        <w:tc>
          <w:tcPr>
            <w:tcW w:w="987" w:type="dxa"/>
            <w:shd w:val="clear" w:color="auto" w:fill="D9D9D9" w:themeFill="background1" w:themeFillShade="D9"/>
          </w:tcPr>
          <w:p w:rsidR="00C35181" w:rsidRDefault="00C35181" w:rsidP="00F521CA">
            <w:pPr>
              <w:jc w:val="center"/>
            </w:pPr>
            <w:r>
              <w:t>2</w:t>
            </w:r>
          </w:p>
        </w:tc>
        <w:tc>
          <w:tcPr>
            <w:tcW w:w="1393" w:type="dxa"/>
            <w:shd w:val="clear" w:color="auto" w:fill="D9D9D9" w:themeFill="background1" w:themeFillShade="D9"/>
          </w:tcPr>
          <w:p w:rsidR="00C35181" w:rsidRDefault="00F521CA" w:rsidP="0072529C">
            <w:r>
              <w:t>$100,213.00</w:t>
            </w:r>
          </w:p>
        </w:tc>
        <w:tc>
          <w:tcPr>
            <w:tcW w:w="1394" w:type="dxa"/>
            <w:shd w:val="clear" w:color="auto" w:fill="D9D9D9" w:themeFill="background1" w:themeFillShade="D9"/>
          </w:tcPr>
          <w:p w:rsidR="00C35181" w:rsidRDefault="00F521CA" w:rsidP="00FB491C">
            <w:r>
              <w:t>$50,106.50</w:t>
            </w:r>
          </w:p>
        </w:tc>
        <w:tc>
          <w:tcPr>
            <w:tcW w:w="1394" w:type="dxa"/>
            <w:shd w:val="clear" w:color="auto" w:fill="D9D9D9" w:themeFill="background1" w:themeFillShade="D9"/>
          </w:tcPr>
          <w:p w:rsidR="00C35181" w:rsidRDefault="00F521CA" w:rsidP="00FB491C">
            <w:r>
              <w:t>$55,117.15</w:t>
            </w:r>
          </w:p>
        </w:tc>
        <w:tc>
          <w:tcPr>
            <w:tcW w:w="1394" w:type="dxa"/>
            <w:shd w:val="clear" w:color="auto" w:fill="D9D9D9" w:themeFill="background1" w:themeFillShade="D9"/>
          </w:tcPr>
          <w:p w:rsidR="00C35181" w:rsidRDefault="00F521CA" w:rsidP="00FD44D3">
            <w:r>
              <w:t>$60,127.80</w:t>
            </w:r>
          </w:p>
        </w:tc>
        <w:tc>
          <w:tcPr>
            <w:tcW w:w="1394" w:type="dxa"/>
            <w:shd w:val="clear" w:color="auto" w:fill="D9D9D9" w:themeFill="background1" w:themeFillShade="D9"/>
          </w:tcPr>
          <w:p w:rsidR="00C35181" w:rsidRDefault="00F521CA" w:rsidP="00FB491C">
            <w:r>
              <w:t>$65,138.45</w:t>
            </w:r>
          </w:p>
        </w:tc>
        <w:tc>
          <w:tcPr>
            <w:tcW w:w="1394" w:type="dxa"/>
            <w:shd w:val="clear" w:color="auto" w:fill="D9D9D9" w:themeFill="background1" w:themeFillShade="D9"/>
          </w:tcPr>
          <w:p w:rsidR="00C35181" w:rsidRDefault="00F521CA" w:rsidP="00FB491C">
            <w:r>
              <w:t>$70,149.10</w:t>
            </w:r>
          </w:p>
        </w:tc>
      </w:tr>
      <w:tr w:rsidR="00C35181" w:rsidTr="00F521CA">
        <w:tc>
          <w:tcPr>
            <w:tcW w:w="987" w:type="dxa"/>
            <w:shd w:val="clear" w:color="auto" w:fill="D9D9D9" w:themeFill="background1" w:themeFillShade="D9"/>
          </w:tcPr>
          <w:p w:rsidR="00C35181" w:rsidRDefault="00C35181" w:rsidP="00F521CA">
            <w:pPr>
              <w:jc w:val="center"/>
            </w:pPr>
            <w:r>
              <w:t>3</w:t>
            </w:r>
          </w:p>
        </w:tc>
        <w:tc>
          <w:tcPr>
            <w:tcW w:w="1393" w:type="dxa"/>
            <w:shd w:val="clear" w:color="auto" w:fill="D9D9D9" w:themeFill="background1" w:themeFillShade="D9"/>
          </w:tcPr>
          <w:p w:rsidR="00C35181" w:rsidRDefault="00F521CA" w:rsidP="0072529C">
            <w:r>
              <w:t>$107,213.00</w:t>
            </w:r>
          </w:p>
        </w:tc>
        <w:tc>
          <w:tcPr>
            <w:tcW w:w="1394" w:type="dxa"/>
            <w:shd w:val="clear" w:color="auto" w:fill="D9D9D9" w:themeFill="background1" w:themeFillShade="D9"/>
          </w:tcPr>
          <w:p w:rsidR="00C35181" w:rsidRDefault="00F521CA" w:rsidP="00FB491C">
            <w:r>
              <w:t>$53,606.50</w:t>
            </w:r>
          </w:p>
        </w:tc>
        <w:tc>
          <w:tcPr>
            <w:tcW w:w="1394" w:type="dxa"/>
            <w:shd w:val="clear" w:color="auto" w:fill="D9D9D9" w:themeFill="background1" w:themeFillShade="D9"/>
          </w:tcPr>
          <w:p w:rsidR="00C35181" w:rsidRDefault="00F521CA" w:rsidP="00FB491C">
            <w:r>
              <w:t>$58,967.15</w:t>
            </w:r>
          </w:p>
        </w:tc>
        <w:tc>
          <w:tcPr>
            <w:tcW w:w="1394" w:type="dxa"/>
            <w:shd w:val="clear" w:color="auto" w:fill="D9D9D9" w:themeFill="background1" w:themeFillShade="D9"/>
          </w:tcPr>
          <w:p w:rsidR="00C35181" w:rsidRDefault="00F521CA" w:rsidP="00FD44D3">
            <w:r>
              <w:t>$64,327.80</w:t>
            </w:r>
          </w:p>
        </w:tc>
        <w:tc>
          <w:tcPr>
            <w:tcW w:w="1394" w:type="dxa"/>
            <w:shd w:val="clear" w:color="auto" w:fill="D9D9D9" w:themeFill="background1" w:themeFillShade="D9"/>
          </w:tcPr>
          <w:p w:rsidR="00C35181" w:rsidRDefault="00F521CA" w:rsidP="00FB491C">
            <w:r>
              <w:t>$69,688.45</w:t>
            </w:r>
          </w:p>
        </w:tc>
        <w:tc>
          <w:tcPr>
            <w:tcW w:w="1394" w:type="dxa"/>
            <w:shd w:val="clear" w:color="auto" w:fill="D9D9D9" w:themeFill="background1" w:themeFillShade="D9"/>
          </w:tcPr>
          <w:p w:rsidR="00C35181" w:rsidRDefault="00F521CA" w:rsidP="00FB491C">
            <w:r>
              <w:t>$75,049.10</w:t>
            </w:r>
          </w:p>
        </w:tc>
      </w:tr>
      <w:tr w:rsidR="00C35181" w:rsidTr="00F521CA">
        <w:tc>
          <w:tcPr>
            <w:tcW w:w="987" w:type="dxa"/>
            <w:shd w:val="clear" w:color="auto" w:fill="D9D9D9" w:themeFill="background1" w:themeFillShade="D9"/>
          </w:tcPr>
          <w:p w:rsidR="00C35181" w:rsidRDefault="00C35181" w:rsidP="00F521CA">
            <w:pPr>
              <w:jc w:val="center"/>
            </w:pPr>
            <w:r>
              <w:t>4</w:t>
            </w:r>
          </w:p>
        </w:tc>
        <w:tc>
          <w:tcPr>
            <w:tcW w:w="1393" w:type="dxa"/>
            <w:shd w:val="clear" w:color="auto" w:fill="D9D9D9" w:themeFill="background1" w:themeFillShade="D9"/>
          </w:tcPr>
          <w:p w:rsidR="00C35181" w:rsidRDefault="00F521CA" w:rsidP="0072529C">
            <w:r>
              <w:t>$113,713.00</w:t>
            </w:r>
          </w:p>
        </w:tc>
        <w:tc>
          <w:tcPr>
            <w:tcW w:w="1394" w:type="dxa"/>
            <w:shd w:val="clear" w:color="auto" w:fill="D9D9D9" w:themeFill="background1" w:themeFillShade="D9"/>
          </w:tcPr>
          <w:p w:rsidR="00C35181" w:rsidRDefault="00F521CA" w:rsidP="00FB491C">
            <w:r>
              <w:t>$56,856.50</w:t>
            </w:r>
          </w:p>
        </w:tc>
        <w:tc>
          <w:tcPr>
            <w:tcW w:w="1394" w:type="dxa"/>
            <w:shd w:val="clear" w:color="auto" w:fill="D9D9D9" w:themeFill="background1" w:themeFillShade="D9"/>
          </w:tcPr>
          <w:p w:rsidR="00C35181" w:rsidRDefault="00F521CA" w:rsidP="00FB491C">
            <w:r>
              <w:t>$62,542.15</w:t>
            </w:r>
          </w:p>
        </w:tc>
        <w:tc>
          <w:tcPr>
            <w:tcW w:w="1394" w:type="dxa"/>
            <w:shd w:val="clear" w:color="auto" w:fill="D9D9D9" w:themeFill="background1" w:themeFillShade="D9"/>
          </w:tcPr>
          <w:p w:rsidR="00C35181" w:rsidRDefault="00F521CA" w:rsidP="00FD44D3">
            <w:r>
              <w:t>$68,227.80</w:t>
            </w:r>
          </w:p>
        </w:tc>
        <w:tc>
          <w:tcPr>
            <w:tcW w:w="1394" w:type="dxa"/>
            <w:shd w:val="clear" w:color="auto" w:fill="D9D9D9" w:themeFill="background1" w:themeFillShade="D9"/>
          </w:tcPr>
          <w:p w:rsidR="00C35181" w:rsidRDefault="00F521CA" w:rsidP="00FB491C">
            <w:r>
              <w:t>$73,913.45</w:t>
            </w:r>
          </w:p>
        </w:tc>
        <w:tc>
          <w:tcPr>
            <w:tcW w:w="1394" w:type="dxa"/>
            <w:shd w:val="clear" w:color="auto" w:fill="D9D9D9" w:themeFill="background1" w:themeFillShade="D9"/>
          </w:tcPr>
          <w:p w:rsidR="00C35181" w:rsidRDefault="00F521CA" w:rsidP="00FB491C">
            <w:r>
              <w:t>$79,599.10</w:t>
            </w:r>
          </w:p>
        </w:tc>
      </w:tr>
      <w:tr w:rsidR="00C35181" w:rsidTr="00F521CA">
        <w:tc>
          <w:tcPr>
            <w:tcW w:w="987" w:type="dxa"/>
            <w:shd w:val="clear" w:color="auto" w:fill="D9D9D9" w:themeFill="background1" w:themeFillShade="D9"/>
          </w:tcPr>
          <w:p w:rsidR="00C35181" w:rsidRDefault="00C35181" w:rsidP="00F521CA">
            <w:pPr>
              <w:jc w:val="center"/>
            </w:pPr>
            <w:r>
              <w:t>5</w:t>
            </w:r>
          </w:p>
        </w:tc>
        <w:tc>
          <w:tcPr>
            <w:tcW w:w="1393" w:type="dxa"/>
            <w:shd w:val="clear" w:color="auto" w:fill="D9D9D9" w:themeFill="background1" w:themeFillShade="D9"/>
          </w:tcPr>
          <w:p w:rsidR="00C35181" w:rsidRDefault="00F521CA" w:rsidP="0072529C">
            <w:r>
              <w:t>$120,713.00</w:t>
            </w:r>
          </w:p>
        </w:tc>
        <w:tc>
          <w:tcPr>
            <w:tcW w:w="1394" w:type="dxa"/>
            <w:shd w:val="clear" w:color="auto" w:fill="D9D9D9" w:themeFill="background1" w:themeFillShade="D9"/>
          </w:tcPr>
          <w:p w:rsidR="00C35181" w:rsidRDefault="00F521CA" w:rsidP="00FB491C">
            <w:r>
              <w:t>$60,356.50</w:t>
            </w:r>
          </w:p>
        </w:tc>
        <w:tc>
          <w:tcPr>
            <w:tcW w:w="1394" w:type="dxa"/>
            <w:shd w:val="clear" w:color="auto" w:fill="D9D9D9" w:themeFill="background1" w:themeFillShade="D9"/>
          </w:tcPr>
          <w:p w:rsidR="00C35181" w:rsidRDefault="00F521CA" w:rsidP="00FB491C">
            <w:r>
              <w:t>$66,392.15</w:t>
            </w:r>
          </w:p>
        </w:tc>
        <w:tc>
          <w:tcPr>
            <w:tcW w:w="1394" w:type="dxa"/>
            <w:shd w:val="clear" w:color="auto" w:fill="D9D9D9" w:themeFill="background1" w:themeFillShade="D9"/>
          </w:tcPr>
          <w:p w:rsidR="00C35181" w:rsidRDefault="00F521CA" w:rsidP="00FD44D3">
            <w:r>
              <w:t>$72,427.80</w:t>
            </w:r>
          </w:p>
        </w:tc>
        <w:tc>
          <w:tcPr>
            <w:tcW w:w="1394" w:type="dxa"/>
            <w:shd w:val="clear" w:color="auto" w:fill="D9D9D9" w:themeFill="background1" w:themeFillShade="D9"/>
          </w:tcPr>
          <w:p w:rsidR="00C35181" w:rsidRDefault="00F521CA" w:rsidP="00FB491C">
            <w:r>
              <w:t>$78,463.45</w:t>
            </w:r>
          </w:p>
        </w:tc>
        <w:tc>
          <w:tcPr>
            <w:tcW w:w="1394" w:type="dxa"/>
            <w:shd w:val="clear" w:color="auto" w:fill="D9D9D9" w:themeFill="background1" w:themeFillShade="D9"/>
          </w:tcPr>
          <w:p w:rsidR="00C35181" w:rsidRDefault="00F521CA" w:rsidP="00F521CA">
            <w:pPr>
              <w:keepNext/>
            </w:pPr>
            <w:r>
              <w:t>$84,499.10</w:t>
            </w:r>
          </w:p>
        </w:tc>
      </w:tr>
    </w:tbl>
    <w:p w:rsidR="00F521CA" w:rsidRPr="00D90623" w:rsidRDefault="00F521CA">
      <w:pPr>
        <w:pStyle w:val="Caption"/>
        <w:rPr>
          <w:color w:val="C00000"/>
        </w:rPr>
      </w:pPr>
      <w:r w:rsidRPr="00D90623">
        <w:rPr>
          <w:color w:val="C00000"/>
        </w:rPr>
        <w:t xml:space="preserve">Table </w:t>
      </w:r>
      <w:r w:rsidRPr="00D90623">
        <w:rPr>
          <w:color w:val="C00000"/>
        </w:rPr>
        <w:fldChar w:fldCharType="begin"/>
      </w:r>
      <w:r w:rsidRPr="00D90623">
        <w:rPr>
          <w:color w:val="C00000"/>
        </w:rPr>
        <w:instrText xml:space="preserve"> SEQ Table \* ARABIC </w:instrText>
      </w:r>
      <w:r w:rsidRPr="00D90623">
        <w:rPr>
          <w:color w:val="C00000"/>
        </w:rPr>
        <w:fldChar w:fldCharType="separate"/>
      </w:r>
      <w:r w:rsidRPr="00D90623">
        <w:rPr>
          <w:noProof/>
          <w:color w:val="C00000"/>
        </w:rPr>
        <w:t>2</w:t>
      </w:r>
      <w:r w:rsidRPr="00D90623">
        <w:rPr>
          <w:color w:val="C00000"/>
        </w:rPr>
        <w:fldChar w:fldCharType="end"/>
      </w:r>
      <w:r w:rsidRPr="00D90623">
        <w:rPr>
          <w:color w:val="C00000"/>
        </w:rPr>
        <w:t>. Data reflecting family size from 2 onward to be confirmed</w:t>
      </w:r>
      <w:r w:rsidR="00D90623" w:rsidRPr="00D90623">
        <w:rPr>
          <w:color w:val="C00000"/>
        </w:rPr>
        <w:t>.</w:t>
      </w:r>
    </w:p>
    <w:p w:rsidR="00553143" w:rsidRDefault="00553143" w:rsidP="00B972B3">
      <w:pPr>
        <w:spacing w:before="240"/>
      </w:pPr>
      <w:r>
        <w:rPr>
          <w:b/>
        </w:rPr>
        <w:t>Scoring:</w:t>
      </w:r>
      <w:r>
        <w:t xml:space="preserve"> Based on the information provided by the student and where they fall on the chart, what do you believe is the student’s level of financial need? Very high financial need would warrant a score of (10) while very low financial need would warrant a score of one or zero.</w:t>
      </w:r>
    </w:p>
    <w:p w:rsidR="00553143" w:rsidRDefault="00553143" w:rsidP="00FD44D3">
      <w:r>
        <w:t>Bermuda College uses the MHI chart to begin to determine the percentage of financial aid for which a student is eligible to receive.</w:t>
      </w:r>
    </w:p>
    <w:p w:rsidR="000D0D59" w:rsidRDefault="000D0D59" w:rsidP="000D0D59">
      <w:pPr>
        <w:pStyle w:val="Heading3"/>
      </w:pPr>
      <w:r>
        <w:t>Step Two: Determine the % of Award</w:t>
      </w:r>
    </w:p>
    <w:tbl>
      <w:tblPr>
        <w:tblStyle w:val="TableGrid"/>
        <w:tblW w:w="9355" w:type="dxa"/>
        <w:tblLook w:val="04A0" w:firstRow="1" w:lastRow="0" w:firstColumn="1" w:lastColumn="0" w:noHBand="0" w:noVBand="1"/>
      </w:tblPr>
      <w:tblGrid>
        <w:gridCol w:w="1496"/>
        <w:gridCol w:w="3629"/>
        <w:gridCol w:w="4230"/>
      </w:tblGrid>
      <w:tr w:rsidR="00D90623" w:rsidTr="00D90623">
        <w:tc>
          <w:tcPr>
            <w:tcW w:w="1496" w:type="dxa"/>
            <w:vMerge w:val="restart"/>
          </w:tcPr>
          <w:p w:rsidR="00D90623" w:rsidRPr="00EA238D" w:rsidRDefault="00D90623" w:rsidP="00EA238D">
            <w:pPr>
              <w:jc w:val="center"/>
              <w:rPr>
                <w:b/>
              </w:rPr>
            </w:pPr>
            <w:r>
              <w:rPr>
                <w:b/>
              </w:rPr>
              <w:t>Determination of Need</w:t>
            </w:r>
          </w:p>
        </w:tc>
        <w:tc>
          <w:tcPr>
            <w:tcW w:w="7859" w:type="dxa"/>
            <w:gridSpan w:val="2"/>
          </w:tcPr>
          <w:p w:rsidR="00D90623" w:rsidRPr="00EA238D" w:rsidRDefault="00D90623" w:rsidP="00EA238D">
            <w:pPr>
              <w:jc w:val="center"/>
              <w:rPr>
                <w:b/>
              </w:rPr>
            </w:pPr>
            <w:r>
              <w:rPr>
                <w:b/>
              </w:rPr>
              <w:t>Financial Support</w:t>
            </w:r>
          </w:p>
        </w:tc>
      </w:tr>
      <w:tr w:rsidR="00D90623" w:rsidTr="00D90623">
        <w:tc>
          <w:tcPr>
            <w:tcW w:w="1496" w:type="dxa"/>
            <w:vMerge/>
          </w:tcPr>
          <w:p w:rsidR="00D90623" w:rsidRPr="00863035" w:rsidRDefault="00D90623" w:rsidP="00EA238D">
            <w:pPr>
              <w:jc w:val="center"/>
              <w:rPr>
                <w:b/>
              </w:rPr>
            </w:pPr>
          </w:p>
        </w:tc>
        <w:tc>
          <w:tcPr>
            <w:tcW w:w="3629" w:type="dxa"/>
          </w:tcPr>
          <w:p w:rsidR="00D90623" w:rsidRPr="00D90623" w:rsidRDefault="00D90623" w:rsidP="00EA238D">
            <w:pPr>
              <w:jc w:val="center"/>
              <w:rPr>
                <w:b/>
              </w:rPr>
            </w:pPr>
            <w:r>
              <w:rPr>
                <w:b/>
              </w:rPr>
              <w:t>MHI</w:t>
            </w:r>
          </w:p>
        </w:tc>
        <w:tc>
          <w:tcPr>
            <w:tcW w:w="4230" w:type="dxa"/>
          </w:tcPr>
          <w:p w:rsidR="00D90623" w:rsidRPr="00D90623" w:rsidRDefault="00D90623" w:rsidP="006906CC">
            <w:pPr>
              <w:jc w:val="center"/>
              <w:rPr>
                <w:b/>
              </w:rPr>
            </w:pPr>
            <w:r w:rsidRPr="00D90623">
              <w:rPr>
                <w:b/>
              </w:rPr>
              <w:t>% of Award</w:t>
            </w:r>
          </w:p>
        </w:tc>
      </w:tr>
      <w:tr w:rsidR="00D90623" w:rsidTr="00D90623">
        <w:tc>
          <w:tcPr>
            <w:tcW w:w="1496" w:type="dxa"/>
          </w:tcPr>
          <w:p w:rsidR="00D90623" w:rsidRDefault="00D90623" w:rsidP="00EA238D">
            <w:pPr>
              <w:jc w:val="center"/>
            </w:pPr>
            <w:r>
              <w:t>9 - 10</w:t>
            </w:r>
          </w:p>
        </w:tc>
        <w:tc>
          <w:tcPr>
            <w:tcW w:w="3629" w:type="dxa"/>
          </w:tcPr>
          <w:p w:rsidR="00D90623" w:rsidRDefault="00D90623" w:rsidP="00EA238D">
            <w:pPr>
              <w:jc w:val="center"/>
            </w:pPr>
            <w:r>
              <w:t>0 to 50%</w:t>
            </w:r>
          </w:p>
        </w:tc>
        <w:tc>
          <w:tcPr>
            <w:tcW w:w="4230" w:type="dxa"/>
          </w:tcPr>
          <w:p w:rsidR="00D90623" w:rsidRDefault="00D90623" w:rsidP="006906CC">
            <w:pPr>
              <w:jc w:val="center"/>
            </w:pPr>
            <w:r>
              <w:t>70 to 80%</w:t>
            </w:r>
          </w:p>
        </w:tc>
      </w:tr>
      <w:tr w:rsidR="00D90623" w:rsidTr="00D90623">
        <w:tc>
          <w:tcPr>
            <w:tcW w:w="1496" w:type="dxa"/>
          </w:tcPr>
          <w:p w:rsidR="00D90623" w:rsidRDefault="00D90623" w:rsidP="00EA238D">
            <w:pPr>
              <w:jc w:val="center"/>
            </w:pPr>
            <w:r>
              <w:t>7 - 8</w:t>
            </w:r>
          </w:p>
        </w:tc>
        <w:tc>
          <w:tcPr>
            <w:tcW w:w="3629" w:type="dxa"/>
          </w:tcPr>
          <w:p w:rsidR="00D90623" w:rsidRDefault="00D90623" w:rsidP="00EA238D">
            <w:pPr>
              <w:jc w:val="center"/>
            </w:pPr>
            <w:r>
              <w:t>51 to 55%</w:t>
            </w:r>
          </w:p>
        </w:tc>
        <w:tc>
          <w:tcPr>
            <w:tcW w:w="4230" w:type="dxa"/>
          </w:tcPr>
          <w:p w:rsidR="00D90623" w:rsidRDefault="00D90623" w:rsidP="006906CC">
            <w:pPr>
              <w:jc w:val="center"/>
            </w:pPr>
            <w:r>
              <w:t>60 to 70%</w:t>
            </w:r>
          </w:p>
        </w:tc>
      </w:tr>
      <w:tr w:rsidR="00D90623" w:rsidTr="00D90623">
        <w:tc>
          <w:tcPr>
            <w:tcW w:w="1496" w:type="dxa"/>
          </w:tcPr>
          <w:p w:rsidR="00D90623" w:rsidRDefault="00D90623" w:rsidP="00EA238D">
            <w:pPr>
              <w:jc w:val="center"/>
            </w:pPr>
            <w:r>
              <w:t>5 - 6</w:t>
            </w:r>
          </w:p>
        </w:tc>
        <w:tc>
          <w:tcPr>
            <w:tcW w:w="3629" w:type="dxa"/>
          </w:tcPr>
          <w:p w:rsidR="00D90623" w:rsidRDefault="00D90623" w:rsidP="00EA238D">
            <w:pPr>
              <w:jc w:val="center"/>
            </w:pPr>
            <w:r>
              <w:t>56 to 60%</w:t>
            </w:r>
          </w:p>
        </w:tc>
        <w:tc>
          <w:tcPr>
            <w:tcW w:w="4230" w:type="dxa"/>
          </w:tcPr>
          <w:p w:rsidR="00D90623" w:rsidRDefault="00D90623" w:rsidP="006906CC">
            <w:pPr>
              <w:jc w:val="center"/>
            </w:pPr>
            <w:r>
              <w:t>50 to 60%</w:t>
            </w:r>
          </w:p>
        </w:tc>
      </w:tr>
      <w:tr w:rsidR="00D90623" w:rsidTr="00D90623">
        <w:tc>
          <w:tcPr>
            <w:tcW w:w="1496" w:type="dxa"/>
          </w:tcPr>
          <w:p w:rsidR="00D90623" w:rsidRDefault="00D90623" w:rsidP="00EA238D">
            <w:pPr>
              <w:jc w:val="center"/>
            </w:pPr>
            <w:r>
              <w:t>3 - 4</w:t>
            </w:r>
          </w:p>
        </w:tc>
        <w:tc>
          <w:tcPr>
            <w:tcW w:w="3629" w:type="dxa"/>
          </w:tcPr>
          <w:p w:rsidR="00D90623" w:rsidRDefault="00D90623" w:rsidP="00EA238D">
            <w:pPr>
              <w:jc w:val="center"/>
            </w:pPr>
            <w:r>
              <w:t>61 to 65%</w:t>
            </w:r>
          </w:p>
        </w:tc>
        <w:tc>
          <w:tcPr>
            <w:tcW w:w="4230" w:type="dxa"/>
          </w:tcPr>
          <w:p w:rsidR="00D90623" w:rsidRDefault="00D90623" w:rsidP="006906CC">
            <w:pPr>
              <w:jc w:val="center"/>
            </w:pPr>
            <w:r>
              <w:t>40 to 50%</w:t>
            </w:r>
          </w:p>
        </w:tc>
      </w:tr>
      <w:tr w:rsidR="00D90623" w:rsidTr="00D90623">
        <w:tc>
          <w:tcPr>
            <w:tcW w:w="1496" w:type="dxa"/>
          </w:tcPr>
          <w:p w:rsidR="00D90623" w:rsidRDefault="00D90623" w:rsidP="00EA238D">
            <w:pPr>
              <w:jc w:val="center"/>
            </w:pPr>
            <w:r>
              <w:t>1 - 2</w:t>
            </w:r>
          </w:p>
        </w:tc>
        <w:tc>
          <w:tcPr>
            <w:tcW w:w="3629" w:type="dxa"/>
          </w:tcPr>
          <w:p w:rsidR="00D90623" w:rsidRDefault="00D90623" w:rsidP="00EA238D">
            <w:pPr>
              <w:jc w:val="center"/>
            </w:pPr>
            <w:r>
              <w:t>66 to 70%</w:t>
            </w:r>
          </w:p>
        </w:tc>
        <w:tc>
          <w:tcPr>
            <w:tcW w:w="4230" w:type="dxa"/>
          </w:tcPr>
          <w:p w:rsidR="00D90623" w:rsidRDefault="00D90623" w:rsidP="006906CC">
            <w:pPr>
              <w:jc w:val="center"/>
            </w:pPr>
            <w:r>
              <w:t>30 to 40%</w:t>
            </w:r>
          </w:p>
        </w:tc>
      </w:tr>
    </w:tbl>
    <w:p w:rsidR="00EA238D" w:rsidRPr="00EA238D" w:rsidRDefault="00B972B3" w:rsidP="00D90623">
      <w:pPr>
        <w:spacing w:before="240"/>
      </w:pPr>
      <w:r>
        <w:rPr>
          <w:b/>
        </w:rPr>
        <w:t>Other things to consider</w:t>
      </w:r>
      <w:r>
        <w:t>: How many persons are being supported by the household income? What is the monthly balance demonstrated by the financial worksheet (income – expenses)? Are there other educational costs to consider (nursery, private school tuition, other dependents enrolled at BC, enrolled, overseas etc.)? Is there extensive debt (Credit Association, Medical bills, etc.)?</w:t>
      </w:r>
      <w:bookmarkEnd w:id="0"/>
    </w:p>
    <w:sectPr w:rsidR="00EA238D" w:rsidRPr="00EA238D" w:rsidSect="00954DDD">
      <w:pgSz w:w="12240" w:h="15840"/>
      <w:pgMar w:top="720"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CA" w:rsidRDefault="00F521CA" w:rsidP="00073C19">
      <w:pPr>
        <w:spacing w:after="0" w:line="240" w:lineRule="auto"/>
      </w:pPr>
      <w:r>
        <w:separator/>
      </w:r>
    </w:p>
  </w:endnote>
  <w:endnote w:type="continuationSeparator" w:id="0">
    <w:p w:rsidR="00F521CA" w:rsidRDefault="00F521CA" w:rsidP="0007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CA" w:rsidRDefault="00F521CA" w:rsidP="00073C19">
      <w:pPr>
        <w:spacing w:after="0" w:line="240" w:lineRule="auto"/>
      </w:pPr>
      <w:r>
        <w:separator/>
      </w:r>
    </w:p>
  </w:footnote>
  <w:footnote w:type="continuationSeparator" w:id="0">
    <w:p w:rsidR="00F521CA" w:rsidRDefault="00F521CA" w:rsidP="00073C19">
      <w:pPr>
        <w:spacing w:after="0" w:line="240" w:lineRule="auto"/>
      </w:pPr>
      <w:r>
        <w:continuationSeparator/>
      </w:r>
    </w:p>
  </w:footnote>
  <w:footnote w:id="1">
    <w:p w:rsidR="00F521CA" w:rsidRDefault="00F521CA">
      <w:pPr>
        <w:pStyle w:val="FootnoteText"/>
      </w:pPr>
      <w:r>
        <w:rPr>
          <w:rStyle w:val="FootnoteReference"/>
        </w:rPr>
        <w:footnoteRef/>
      </w:r>
      <w:r>
        <w:t xml:space="preserve"> Department of Statistics (2016). 2016 Population and Housing Census Report. Hamilton, Bermuda: The Government of Bermuda Cabinet Office.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996"/>
    <w:multiLevelType w:val="hybridMultilevel"/>
    <w:tmpl w:val="77F465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1987"/>
    <w:multiLevelType w:val="hybridMultilevel"/>
    <w:tmpl w:val="15A0143C"/>
    <w:lvl w:ilvl="0" w:tplc="B6D82C2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F624D"/>
    <w:multiLevelType w:val="hybridMultilevel"/>
    <w:tmpl w:val="73E6A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A3B89"/>
    <w:multiLevelType w:val="hybridMultilevel"/>
    <w:tmpl w:val="623AD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0710BD"/>
    <w:multiLevelType w:val="hybridMultilevel"/>
    <w:tmpl w:val="AC68AC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03973"/>
    <w:multiLevelType w:val="hybridMultilevel"/>
    <w:tmpl w:val="4586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D2B66"/>
    <w:multiLevelType w:val="hybridMultilevel"/>
    <w:tmpl w:val="61C66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B0403"/>
    <w:multiLevelType w:val="hybridMultilevel"/>
    <w:tmpl w:val="11C05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E797A"/>
    <w:multiLevelType w:val="hybridMultilevel"/>
    <w:tmpl w:val="27CE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16"/>
    <w:rsid w:val="00000A5F"/>
    <w:rsid w:val="00013059"/>
    <w:rsid w:val="00073C19"/>
    <w:rsid w:val="00074FF5"/>
    <w:rsid w:val="000861FF"/>
    <w:rsid w:val="000D0D59"/>
    <w:rsid w:val="0010564B"/>
    <w:rsid w:val="002468C1"/>
    <w:rsid w:val="002D34A3"/>
    <w:rsid w:val="0032291E"/>
    <w:rsid w:val="00327786"/>
    <w:rsid w:val="00336716"/>
    <w:rsid w:val="003B1126"/>
    <w:rsid w:val="00445652"/>
    <w:rsid w:val="00553143"/>
    <w:rsid w:val="00595125"/>
    <w:rsid w:val="00646A2D"/>
    <w:rsid w:val="006906CC"/>
    <w:rsid w:val="006C34FD"/>
    <w:rsid w:val="0072529C"/>
    <w:rsid w:val="00781EBA"/>
    <w:rsid w:val="007B6FB9"/>
    <w:rsid w:val="007D5A03"/>
    <w:rsid w:val="007F1FE7"/>
    <w:rsid w:val="00844857"/>
    <w:rsid w:val="00863035"/>
    <w:rsid w:val="00943995"/>
    <w:rsid w:val="00954DDD"/>
    <w:rsid w:val="00AC06D2"/>
    <w:rsid w:val="00AE5D5F"/>
    <w:rsid w:val="00B972B3"/>
    <w:rsid w:val="00BE210F"/>
    <w:rsid w:val="00C35181"/>
    <w:rsid w:val="00C74A7B"/>
    <w:rsid w:val="00CD0D96"/>
    <w:rsid w:val="00D90623"/>
    <w:rsid w:val="00DC300D"/>
    <w:rsid w:val="00DD569F"/>
    <w:rsid w:val="00E7120B"/>
    <w:rsid w:val="00EA238D"/>
    <w:rsid w:val="00F26C54"/>
    <w:rsid w:val="00F521CA"/>
    <w:rsid w:val="00FB491C"/>
    <w:rsid w:val="00FD44D3"/>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9AE3-50E3-4332-8101-4FA413B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A03"/>
  </w:style>
  <w:style w:type="paragraph" w:styleId="Heading1">
    <w:name w:val="heading 1"/>
    <w:basedOn w:val="Normal"/>
    <w:next w:val="Normal"/>
    <w:link w:val="Heading1Char"/>
    <w:uiPriority w:val="9"/>
    <w:qFormat/>
    <w:rsid w:val="007D5A03"/>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Heading2">
    <w:name w:val="heading 2"/>
    <w:basedOn w:val="Normal"/>
    <w:next w:val="Normal"/>
    <w:link w:val="Heading2Char"/>
    <w:uiPriority w:val="9"/>
    <w:unhideWhenUsed/>
    <w:qFormat/>
    <w:rsid w:val="007D5A03"/>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Heading3">
    <w:name w:val="heading 3"/>
    <w:basedOn w:val="Normal"/>
    <w:next w:val="Normal"/>
    <w:link w:val="Heading3Char"/>
    <w:uiPriority w:val="9"/>
    <w:unhideWhenUsed/>
    <w:qFormat/>
    <w:rsid w:val="007D5A0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D5A0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D5A0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D5A0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D5A0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D5A0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D5A0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A03"/>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itleChar">
    <w:name w:val="Title Char"/>
    <w:basedOn w:val="DefaultParagraphFont"/>
    <w:link w:val="Title"/>
    <w:uiPriority w:val="10"/>
    <w:rsid w:val="007D5A03"/>
    <w:rPr>
      <w:rFonts w:asciiTheme="majorHAnsi" w:eastAsiaTheme="majorEastAsia" w:hAnsiTheme="majorHAnsi" w:cstheme="majorBidi"/>
      <w:color w:val="9D3511" w:themeColor="accent1" w:themeShade="BF"/>
      <w:spacing w:val="-7"/>
      <w:sz w:val="80"/>
      <w:szCs w:val="80"/>
    </w:rPr>
  </w:style>
  <w:style w:type="character" w:customStyle="1" w:styleId="Heading1Char">
    <w:name w:val="Heading 1 Char"/>
    <w:basedOn w:val="DefaultParagraphFont"/>
    <w:link w:val="Heading1"/>
    <w:uiPriority w:val="9"/>
    <w:rsid w:val="007D5A03"/>
    <w:rPr>
      <w:rFonts w:asciiTheme="majorHAnsi" w:eastAsiaTheme="majorEastAsia" w:hAnsiTheme="majorHAnsi" w:cstheme="majorBidi"/>
      <w:color w:val="9D3511" w:themeColor="accent1" w:themeShade="BF"/>
      <w:sz w:val="36"/>
      <w:szCs w:val="36"/>
    </w:rPr>
  </w:style>
  <w:style w:type="character" w:styleId="Hyperlink">
    <w:name w:val="Hyperlink"/>
    <w:basedOn w:val="DefaultParagraphFont"/>
    <w:uiPriority w:val="99"/>
    <w:unhideWhenUsed/>
    <w:rsid w:val="00336716"/>
    <w:rPr>
      <w:color w:val="CC9900" w:themeColor="hyperlink"/>
      <w:u w:val="single"/>
    </w:rPr>
  </w:style>
  <w:style w:type="paragraph" w:styleId="ListParagraph">
    <w:name w:val="List Paragraph"/>
    <w:basedOn w:val="Normal"/>
    <w:uiPriority w:val="34"/>
    <w:qFormat/>
    <w:rsid w:val="00F26C54"/>
    <w:pPr>
      <w:ind w:left="720"/>
      <w:contextualSpacing/>
    </w:pPr>
  </w:style>
  <w:style w:type="character" w:customStyle="1" w:styleId="Heading2Char">
    <w:name w:val="Heading 2 Char"/>
    <w:basedOn w:val="DefaultParagraphFont"/>
    <w:link w:val="Heading2"/>
    <w:uiPriority w:val="9"/>
    <w:rsid w:val="007D5A03"/>
    <w:rPr>
      <w:rFonts w:asciiTheme="majorHAnsi" w:eastAsiaTheme="majorEastAsia" w:hAnsiTheme="majorHAnsi" w:cstheme="majorBidi"/>
      <w:color w:val="9D3511" w:themeColor="accent1" w:themeShade="BF"/>
      <w:sz w:val="28"/>
      <w:szCs w:val="28"/>
    </w:rPr>
  </w:style>
  <w:style w:type="character" w:customStyle="1" w:styleId="Heading3Char">
    <w:name w:val="Heading 3 Char"/>
    <w:basedOn w:val="DefaultParagraphFont"/>
    <w:link w:val="Heading3"/>
    <w:uiPriority w:val="9"/>
    <w:rsid w:val="007D5A0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D5A0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D5A0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D5A0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D5A0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D5A0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D5A0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7D5A0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7D5A0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D5A0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D5A03"/>
    <w:rPr>
      <w:b/>
      <w:bCs/>
    </w:rPr>
  </w:style>
  <w:style w:type="character" w:styleId="Emphasis">
    <w:name w:val="Emphasis"/>
    <w:basedOn w:val="DefaultParagraphFont"/>
    <w:uiPriority w:val="20"/>
    <w:qFormat/>
    <w:rsid w:val="007D5A03"/>
    <w:rPr>
      <w:i/>
      <w:iCs/>
    </w:rPr>
  </w:style>
  <w:style w:type="paragraph" w:styleId="NoSpacing">
    <w:name w:val="No Spacing"/>
    <w:link w:val="NoSpacingChar"/>
    <w:uiPriority w:val="1"/>
    <w:qFormat/>
    <w:rsid w:val="007D5A03"/>
    <w:pPr>
      <w:spacing w:after="0" w:line="240" w:lineRule="auto"/>
    </w:pPr>
  </w:style>
  <w:style w:type="paragraph" w:styleId="Quote">
    <w:name w:val="Quote"/>
    <w:basedOn w:val="Normal"/>
    <w:next w:val="Normal"/>
    <w:link w:val="QuoteChar"/>
    <w:uiPriority w:val="29"/>
    <w:qFormat/>
    <w:rsid w:val="007D5A0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D5A03"/>
    <w:rPr>
      <w:i/>
      <w:iCs/>
    </w:rPr>
  </w:style>
  <w:style w:type="paragraph" w:styleId="IntenseQuote">
    <w:name w:val="Intense Quote"/>
    <w:basedOn w:val="Normal"/>
    <w:next w:val="Normal"/>
    <w:link w:val="IntenseQuoteChar"/>
    <w:uiPriority w:val="30"/>
    <w:qFormat/>
    <w:rsid w:val="007D5A03"/>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IntenseQuoteChar">
    <w:name w:val="Intense Quote Char"/>
    <w:basedOn w:val="DefaultParagraphFont"/>
    <w:link w:val="IntenseQuote"/>
    <w:uiPriority w:val="30"/>
    <w:rsid w:val="007D5A03"/>
    <w:rPr>
      <w:rFonts w:asciiTheme="majorHAnsi" w:eastAsiaTheme="majorEastAsia" w:hAnsiTheme="majorHAnsi" w:cstheme="majorBidi"/>
      <w:color w:val="D34817" w:themeColor="accent1"/>
      <w:sz w:val="28"/>
      <w:szCs w:val="28"/>
    </w:rPr>
  </w:style>
  <w:style w:type="character" w:styleId="SubtleEmphasis">
    <w:name w:val="Subtle Emphasis"/>
    <w:basedOn w:val="DefaultParagraphFont"/>
    <w:uiPriority w:val="19"/>
    <w:qFormat/>
    <w:rsid w:val="007D5A03"/>
    <w:rPr>
      <w:i/>
      <w:iCs/>
      <w:color w:val="595959" w:themeColor="text1" w:themeTint="A6"/>
    </w:rPr>
  </w:style>
  <w:style w:type="character" w:styleId="IntenseEmphasis">
    <w:name w:val="Intense Emphasis"/>
    <w:basedOn w:val="DefaultParagraphFont"/>
    <w:uiPriority w:val="21"/>
    <w:qFormat/>
    <w:rsid w:val="007D5A03"/>
    <w:rPr>
      <w:b/>
      <w:bCs/>
      <w:i/>
      <w:iCs/>
    </w:rPr>
  </w:style>
  <w:style w:type="character" w:styleId="SubtleReference">
    <w:name w:val="Subtle Reference"/>
    <w:basedOn w:val="DefaultParagraphFont"/>
    <w:uiPriority w:val="31"/>
    <w:qFormat/>
    <w:rsid w:val="007D5A03"/>
    <w:rPr>
      <w:smallCaps/>
      <w:color w:val="404040" w:themeColor="text1" w:themeTint="BF"/>
    </w:rPr>
  </w:style>
  <w:style w:type="character" w:styleId="IntenseReference">
    <w:name w:val="Intense Reference"/>
    <w:basedOn w:val="DefaultParagraphFont"/>
    <w:uiPriority w:val="32"/>
    <w:qFormat/>
    <w:rsid w:val="007D5A03"/>
    <w:rPr>
      <w:b/>
      <w:bCs/>
      <w:smallCaps/>
      <w:u w:val="single"/>
    </w:rPr>
  </w:style>
  <w:style w:type="character" w:styleId="BookTitle">
    <w:name w:val="Book Title"/>
    <w:basedOn w:val="DefaultParagraphFont"/>
    <w:uiPriority w:val="33"/>
    <w:qFormat/>
    <w:rsid w:val="007D5A03"/>
    <w:rPr>
      <w:b/>
      <w:bCs/>
      <w:smallCaps/>
    </w:rPr>
  </w:style>
  <w:style w:type="paragraph" w:styleId="TOCHeading">
    <w:name w:val="TOC Heading"/>
    <w:basedOn w:val="Heading1"/>
    <w:next w:val="Normal"/>
    <w:uiPriority w:val="39"/>
    <w:unhideWhenUsed/>
    <w:qFormat/>
    <w:rsid w:val="007D5A03"/>
    <w:pPr>
      <w:outlineLvl w:val="9"/>
    </w:pPr>
  </w:style>
  <w:style w:type="character" w:customStyle="1" w:styleId="NoSpacingChar">
    <w:name w:val="No Spacing Char"/>
    <w:basedOn w:val="DefaultParagraphFont"/>
    <w:link w:val="NoSpacing"/>
    <w:uiPriority w:val="1"/>
    <w:rsid w:val="00595125"/>
  </w:style>
  <w:style w:type="paragraph" w:styleId="TOC1">
    <w:name w:val="toc 1"/>
    <w:basedOn w:val="Normal"/>
    <w:next w:val="Normal"/>
    <w:autoRedefine/>
    <w:uiPriority w:val="39"/>
    <w:unhideWhenUsed/>
    <w:rsid w:val="00595125"/>
    <w:pPr>
      <w:spacing w:after="100"/>
    </w:pPr>
  </w:style>
  <w:style w:type="paragraph" w:styleId="TOC2">
    <w:name w:val="toc 2"/>
    <w:basedOn w:val="Normal"/>
    <w:next w:val="Normal"/>
    <w:autoRedefine/>
    <w:uiPriority w:val="39"/>
    <w:unhideWhenUsed/>
    <w:rsid w:val="00595125"/>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595125"/>
    <w:pPr>
      <w:spacing w:after="100" w:line="259" w:lineRule="auto"/>
      <w:ind w:left="440"/>
    </w:pPr>
    <w:rPr>
      <w:rFonts w:cs="Times New Roman"/>
      <w:sz w:val="22"/>
      <w:szCs w:val="22"/>
    </w:rPr>
  </w:style>
  <w:style w:type="paragraph" w:styleId="Header">
    <w:name w:val="header"/>
    <w:basedOn w:val="Normal"/>
    <w:link w:val="HeaderChar"/>
    <w:uiPriority w:val="99"/>
    <w:unhideWhenUsed/>
    <w:rsid w:val="00073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19"/>
  </w:style>
  <w:style w:type="paragraph" w:styleId="Footer">
    <w:name w:val="footer"/>
    <w:basedOn w:val="Normal"/>
    <w:link w:val="FooterChar"/>
    <w:uiPriority w:val="99"/>
    <w:unhideWhenUsed/>
    <w:rsid w:val="00073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19"/>
  </w:style>
  <w:style w:type="table" w:styleId="TableGrid">
    <w:name w:val="Table Grid"/>
    <w:basedOn w:val="TableNormal"/>
    <w:uiPriority w:val="39"/>
    <w:rsid w:val="00C7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1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FE7"/>
    <w:rPr>
      <w:sz w:val="20"/>
      <w:szCs w:val="20"/>
    </w:rPr>
  </w:style>
  <w:style w:type="character" w:styleId="FootnoteReference">
    <w:name w:val="footnote reference"/>
    <w:basedOn w:val="DefaultParagraphFont"/>
    <w:uiPriority w:val="99"/>
    <w:semiHidden/>
    <w:unhideWhenUsed/>
    <w:rsid w:val="007F1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2017-08-14T00:00:00</PublishDate>
  <Abstract/>
  <CompanyAddress>Bermuda College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B8F93-E8EE-463D-BAF7-182C4A5D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FFFCA262</Template>
  <TotalTime>126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Financial Support Programmes</vt:lpstr>
    </vt:vector>
  </TitlesOfParts>
  <Company>Counselling &amp; Career Centre</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Support Programmes</dc:title>
  <dc:subject>@ Bermuda College</dc:subject>
  <dc:creator>Nikkita Scott</dc:creator>
  <cp:keywords/>
  <dc:description/>
  <cp:lastModifiedBy>Nikkita Scott</cp:lastModifiedBy>
  <cp:revision>5</cp:revision>
  <cp:lastPrinted>2017-11-14T15:43:00Z</cp:lastPrinted>
  <dcterms:created xsi:type="dcterms:W3CDTF">2018-06-05T15:26:00Z</dcterms:created>
  <dcterms:modified xsi:type="dcterms:W3CDTF">2018-06-05T17:32:00Z</dcterms:modified>
</cp:coreProperties>
</file>